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25" w:rsidRPr="00766DB3" w:rsidRDefault="00625D25" w:rsidP="00625D2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766DB3">
        <w:rPr>
          <w:rFonts w:ascii="Times New Roman" w:hAnsi="Times New Roman"/>
          <w:sz w:val="28"/>
          <w:szCs w:val="28"/>
          <w:lang w:eastAsia="ru-RU"/>
        </w:rPr>
        <w:t>ПРОЕКТ</w:t>
      </w:r>
    </w:p>
    <w:tbl>
      <w:tblPr>
        <w:tblW w:w="10609" w:type="dxa"/>
        <w:tblInd w:w="-601" w:type="dxa"/>
        <w:tblLook w:val="01E0" w:firstRow="1" w:lastRow="1" w:firstColumn="1" w:lastColumn="1" w:noHBand="0" w:noVBand="0"/>
      </w:tblPr>
      <w:tblGrid>
        <w:gridCol w:w="709"/>
        <w:gridCol w:w="3666"/>
        <w:gridCol w:w="2273"/>
        <w:gridCol w:w="3508"/>
        <w:gridCol w:w="223"/>
        <w:gridCol w:w="223"/>
        <w:gridCol w:w="7"/>
      </w:tblGrid>
      <w:tr w:rsidR="00625D25" w:rsidRPr="00683DBD" w:rsidTr="0030372D">
        <w:trPr>
          <w:gridAfter w:val="1"/>
          <w:wAfter w:w="7" w:type="dxa"/>
        </w:trPr>
        <w:tc>
          <w:tcPr>
            <w:tcW w:w="10156" w:type="dxa"/>
            <w:gridSpan w:val="4"/>
          </w:tcPr>
          <w:p w:rsidR="00625D25" w:rsidRPr="00766DB3" w:rsidRDefault="00625D25" w:rsidP="0030372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_______________________________________________________________________</w:t>
            </w:r>
          </w:p>
        </w:tc>
        <w:tc>
          <w:tcPr>
            <w:tcW w:w="223" w:type="dxa"/>
          </w:tcPr>
          <w:p w:rsidR="00625D25" w:rsidRPr="00683DBD" w:rsidRDefault="00625D25" w:rsidP="0030372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lang w:val="be-BY" w:eastAsia="ru-RU"/>
              </w:rPr>
            </w:pPr>
          </w:p>
        </w:tc>
        <w:tc>
          <w:tcPr>
            <w:tcW w:w="223" w:type="dxa"/>
          </w:tcPr>
          <w:p w:rsidR="00625D25" w:rsidRPr="00683DBD" w:rsidRDefault="00625D25" w:rsidP="0030372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lang w:val="be-BY" w:eastAsia="ru-RU"/>
              </w:rPr>
            </w:pPr>
          </w:p>
        </w:tc>
      </w:tr>
      <w:tr w:rsidR="00625D25" w:rsidRPr="00683DBD" w:rsidTr="0030372D">
        <w:tblPrEx>
          <w:tblLook w:val="00A0" w:firstRow="1" w:lastRow="0" w:firstColumn="1" w:lastColumn="0" w:noHBand="0" w:noVBand="0"/>
        </w:tblPrEx>
        <w:trPr>
          <w:gridBefore w:val="1"/>
          <w:wBefore w:w="709" w:type="dxa"/>
          <w:trHeight w:val="618"/>
        </w:trPr>
        <w:tc>
          <w:tcPr>
            <w:tcW w:w="3666" w:type="dxa"/>
          </w:tcPr>
          <w:p w:rsidR="00625D25" w:rsidRPr="00683DBD" w:rsidRDefault="00625D25" w:rsidP="0030372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5D25" w:rsidRPr="00683DBD" w:rsidRDefault="00625D25" w:rsidP="0030372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3D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КАРАР</w:t>
            </w:r>
          </w:p>
          <w:p w:rsidR="00625D25" w:rsidRPr="00683DBD" w:rsidRDefault="00625D25" w:rsidP="0030372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73" w:type="dxa"/>
          </w:tcPr>
          <w:p w:rsidR="00625D25" w:rsidRPr="00683DBD" w:rsidRDefault="00625D25" w:rsidP="0030372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5D25" w:rsidRPr="00683DBD" w:rsidRDefault="00625D25" w:rsidP="0030372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25D25" w:rsidRPr="00683DBD" w:rsidRDefault="00625D25" w:rsidP="0030372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1" w:type="dxa"/>
            <w:gridSpan w:val="4"/>
          </w:tcPr>
          <w:p w:rsidR="00625D25" w:rsidRPr="00683DBD" w:rsidRDefault="00625D25" w:rsidP="0030372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83DB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РЕШЕНИЕ</w:t>
            </w:r>
          </w:p>
        </w:tc>
      </w:tr>
    </w:tbl>
    <w:p w:rsidR="00844ADF" w:rsidRPr="00CD15D9" w:rsidRDefault="00844ADF" w:rsidP="00625D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О бюджете сельского поселения </w:t>
      </w:r>
      <w:r w:rsidR="00625D25" w:rsidRPr="00625D25">
        <w:rPr>
          <w:rFonts w:ascii="Times New Roman" w:hAnsi="Times New Roman"/>
          <w:b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20</w:t>
      </w:r>
      <w:r w:rsidR="005406A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и 202</w:t>
      </w:r>
      <w:r w:rsidR="00EB685E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 годов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Совет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решил: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основные характеристики бюджета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2</w:t>
      </w:r>
      <w:r w:rsidR="005406A7">
        <w:rPr>
          <w:rFonts w:ascii="Times New Roman" w:hAnsi="Times New Roman"/>
          <w:sz w:val="28"/>
          <w:szCs w:val="28"/>
          <w:lang w:eastAsia="ru-RU"/>
        </w:rPr>
        <w:t>02</w:t>
      </w:r>
      <w:r w:rsidR="00807DCE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 прогнозируемый общий объем доходов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 Республики Башкортостан в сумме   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0B71">
        <w:rPr>
          <w:rFonts w:ascii="Times New Roman" w:hAnsi="Times New Roman"/>
          <w:sz w:val="28"/>
          <w:szCs w:val="28"/>
          <w:lang w:eastAsia="ru-RU"/>
        </w:rPr>
        <w:t>9 279 490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6F2F6B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общий объем расходов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625D25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муниципального района  Иглинский район  Республики Башкортостан в сумме  </w:t>
      </w:r>
      <w:r w:rsidR="00F50B71">
        <w:rPr>
          <w:rFonts w:ascii="Times New Roman" w:hAnsi="Times New Roman"/>
          <w:sz w:val="28"/>
          <w:szCs w:val="28"/>
          <w:lang w:eastAsia="ru-RU"/>
        </w:rPr>
        <w:t>9 279 490</w:t>
      </w:r>
      <w:r w:rsidR="009F09A4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F6B">
        <w:rPr>
          <w:rFonts w:ascii="Times New Roman" w:hAnsi="Times New Roman"/>
          <w:sz w:val="28"/>
          <w:szCs w:val="28"/>
          <w:lang w:eastAsia="ru-RU"/>
        </w:rPr>
        <w:t>рублей;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Утвердить основные характеристики бюджета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807DCE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807DCE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годов: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1) прогнозируемый общий объем доходов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</w:t>
      </w:r>
      <w:r>
        <w:rPr>
          <w:rFonts w:ascii="Times New Roman" w:hAnsi="Times New Roman"/>
          <w:sz w:val="28"/>
          <w:szCs w:val="28"/>
          <w:lang w:eastAsia="ru-RU"/>
        </w:rPr>
        <w:t>н Республики Башкортостан на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0B71">
        <w:rPr>
          <w:rFonts w:ascii="Times New Roman" w:hAnsi="Times New Roman"/>
          <w:sz w:val="28"/>
          <w:szCs w:val="28"/>
          <w:lang w:eastAsia="ru-RU"/>
        </w:rPr>
        <w:t>8 981 245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 и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F50B71">
        <w:rPr>
          <w:rFonts w:ascii="Times New Roman" w:hAnsi="Times New Roman"/>
          <w:sz w:val="28"/>
          <w:szCs w:val="28"/>
          <w:lang w:eastAsia="ru-RU"/>
        </w:rPr>
        <w:t>9 121 671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рублей;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на </w:t>
      </w:r>
      <w:r w:rsidR="005406A7">
        <w:rPr>
          <w:rFonts w:ascii="Times New Roman" w:hAnsi="Times New Roman"/>
          <w:sz w:val="28"/>
          <w:szCs w:val="28"/>
          <w:lang w:eastAsia="ru-RU"/>
        </w:rPr>
        <w:t>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 w:rsidR="00702A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 в сумме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0B71">
        <w:rPr>
          <w:rFonts w:ascii="Times New Roman" w:hAnsi="Times New Roman"/>
          <w:sz w:val="28"/>
          <w:szCs w:val="28"/>
          <w:lang w:eastAsia="ru-RU"/>
        </w:rPr>
        <w:t>8 981 245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рублей,  в том числе</w:t>
      </w:r>
      <w:r w:rsidR="00463790">
        <w:rPr>
          <w:rFonts w:ascii="Times New Roman" w:hAnsi="Times New Roman"/>
          <w:sz w:val="28"/>
          <w:szCs w:val="28"/>
          <w:lang w:eastAsia="ru-RU"/>
        </w:rPr>
        <w:t xml:space="preserve"> условно утвержденные расходы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A457E">
        <w:rPr>
          <w:rFonts w:ascii="Times New Roman" w:hAnsi="Times New Roman"/>
          <w:sz w:val="28"/>
          <w:szCs w:val="28"/>
          <w:lang w:eastAsia="ru-RU"/>
        </w:rPr>
        <w:t>193 400</w:t>
      </w:r>
      <w:r w:rsidR="005406A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рублей, и на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F50B71">
        <w:rPr>
          <w:rFonts w:ascii="Times New Roman" w:hAnsi="Times New Roman"/>
          <w:sz w:val="28"/>
          <w:szCs w:val="28"/>
          <w:lang w:eastAsia="ru-RU"/>
        </w:rPr>
        <w:t>9 121 671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, в том числе  условно утвержденные расходы  в сумме </w:t>
      </w:r>
      <w:r w:rsidR="00EA457E">
        <w:rPr>
          <w:rFonts w:ascii="Times New Roman" w:hAnsi="Times New Roman"/>
          <w:sz w:val="28"/>
          <w:szCs w:val="28"/>
          <w:lang w:eastAsia="ru-RU"/>
        </w:rPr>
        <w:t>393 900</w:t>
      </w:r>
      <w:r w:rsidR="00216C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рублей.</w:t>
      </w:r>
      <w:proofErr w:type="gramEnd"/>
    </w:p>
    <w:p w:rsidR="00844ADF" w:rsidRPr="00CD15D9" w:rsidRDefault="00470A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Установить, что при зачислении в бюджет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 xml:space="preserve">Калтымановский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Иглинский район  Республики Башкортостан безвозмездных поступлений в виде добровольных взносов (пожертвований) юридических и физических лиц для казенного учреждения, находящегося в ведении соответствующего главного распорядителя средств бюджета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 xml:space="preserve">Калтымановский </w:t>
      </w:r>
      <w:r w:rsidR="001D5562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Республики Башкортостан, на сумму указанных поступлений увеличиваются бюджетные ассигнования соответствующему главному распорядителю средств бюджета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 Иглинский район  Республики Башкортостан для последующего доведения в установленном порядке до указанного казенного учреждения лимитов бюджетных обязатель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>ств дл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>я осуществления расходов, соответствующих целям, на достижение которых предоставлены добровольные взносы (пожертвования).</w:t>
      </w:r>
    </w:p>
    <w:p w:rsidR="00844ADF" w:rsidRPr="00CD15D9" w:rsidRDefault="00470A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1) Утвердить перечень главных администраторов доходов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844ADF" w:rsidRPr="00CD15D9" w:rsidRDefault="00D14C51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 </w:t>
      </w:r>
      <w:r w:rsidR="005A773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Утвердить перечень главных </w:t>
      </w:r>
      <w:proofErr w:type="gramStart"/>
      <w:r w:rsidR="00844ADF" w:rsidRPr="00CD15D9">
        <w:rPr>
          <w:rFonts w:ascii="Times New Roman" w:hAnsi="Times New Roman"/>
          <w:sz w:val="28"/>
          <w:szCs w:val="28"/>
          <w:lang w:eastAsia="ru-RU"/>
        </w:rPr>
        <w:t>администраторов источников финансирования дефицита бюджета  сельского поселения</w:t>
      </w:r>
      <w:proofErr w:type="gramEnd"/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5562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 Иглинский район  Республики Башкортостан и закрепить за ними основные источники финансирования дефицита бюджета муниципального района  Иглинский район  Республики Башкортостан согласно приложению </w:t>
      </w:r>
      <w:r w:rsidR="00844ADF" w:rsidRPr="00CD15D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Решению.</w:t>
      </w:r>
    </w:p>
    <w:p w:rsidR="00844ADF" w:rsidRPr="00CD15D9" w:rsidRDefault="00470A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AB7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 Установить поступления доходов в бюджет </w:t>
      </w:r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20CDE" w:rsidRPr="00CD15D9">
        <w:rPr>
          <w:rFonts w:ascii="Times New Roman" w:hAnsi="Times New Roman"/>
          <w:sz w:val="28"/>
          <w:szCs w:val="28"/>
          <w:lang w:eastAsia="ru-RU"/>
        </w:rPr>
        <w:t>сельсовет</w:t>
      </w:r>
      <w:r w:rsidR="00E20CDE" w:rsidRPr="00CD15D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о района  Иглинский район Республики Башкортостан: 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="00F823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 Решению; 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F4015D" w:rsidRDefault="00470A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F401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Казначейское обслуживание казначейских счетов, открытых администрации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осуществляется Управлением Федерального казначейства по Республике Башкортостан в порядке, установленном бюджетным законодательством Российской Федерации.</w:t>
      </w:r>
    </w:p>
    <w:p w:rsidR="00F4015D" w:rsidRDefault="00470A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F4015D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Средства, поступающие во временное распоряжение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учитываются на казначейском счете, открытом администрации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F4015D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в Управлении Федерального казначейства по Республике Башкортостан с учетом положений бюджетного законодательства Российской Федерации.</w:t>
      </w:r>
    </w:p>
    <w:p w:rsidR="00D14C51" w:rsidRDefault="00470A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0AB7">
        <w:rPr>
          <w:rFonts w:ascii="Times New Roman" w:hAnsi="Times New Roman"/>
          <w:b/>
          <w:sz w:val="28"/>
          <w:szCs w:val="28"/>
          <w:lang w:eastAsia="ru-RU"/>
        </w:rPr>
        <w:t>8</w:t>
      </w:r>
      <w:r w:rsidR="00D14C51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F4015D" w:rsidRPr="00470AB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1. Утвердить в пределах общего объема расходов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Башкортостан, установленного статьей 1 настоящего Решения, распределение бюджетных ассигнований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</w:t>
      </w:r>
      <w:r w:rsidR="00D14C51">
        <w:rPr>
          <w:rFonts w:ascii="Times New Roman" w:hAnsi="Times New Roman"/>
          <w:sz w:val="28"/>
          <w:szCs w:val="28"/>
          <w:lang w:eastAsia="ru-RU"/>
        </w:rPr>
        <w:t>айон  Республики Башкортостан</w:t>
      </w:r>
      <w:proofErr w:type="gramStart"/>
      <w:r w:rsidR="00D14C51"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 по разделам и подразделам, целевым статьям  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 20</w:t>
      </w:r>
      <w:r w:rsidR="00D449EB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Решению;</w:t>
      </w:r>
    </w:p>
    <w:p w:rsidR="00D14C51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б)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D14C51">
        <w:rPr>
          <w:rFonts w:ascii="Times New Roman" w:hAnsi="Times New Roman"/>
          <w:sz w:val="28"/>
          <w:szCs w:val="28"/>
          <w:lang w:eastAsia="ru-RU"/>
        </w:rPr>
        <w:t>настоящему Решению;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2</w:t>
      </w:r>
      <w:r w:rsidR="00D14C51">
        <w:rPr>
          <w:rFonts w:ascii="Times New Roman" w:hAnsi="Times New Roman"/>
          <w:sz w:val="28"/>
          <w:szCs w:val="28"/>
          <w:lang w:eastAsia="ru-RU"/>
        </w:rPr>
        <w:t>)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по целевым статьям  (муниципальным программным направлениям деятельности),</w:t>
      </w:r>
      <w:r w:rsidR="00E20CD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группам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>: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а) на 20</w:t>
      </w:r>
      <w:r w:rsidR="00F823B8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7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на плановый период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 xml:space="preserve">8  </w:t>
      </w:r>
      <w:r w:rsidRPr="00CD15D9">
        <w:rPr>
          <w:rFonts w:ascii="Times New Roman" w:hAnsi="Times New Roman"/>
          <w:sz w:val="28"/>
          <w:szCs w:val="28"/>
          <w:lang w:eastAsia="ru-RU"/>
        </w:rPr>
        <w:t>к настоящему Решению.</w:t>
      </w:r>
    </w:p>
    <w:p w:rsidR="00844ADF" w:rsidRPr="00CD15D9" w:rsidRDefault="00D14C51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. Утвердить ведомственную структуру расходов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 Иглинский район  Республики Башкортостан: 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>1)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255268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 согласно приложению 9</w:t>
      </w:r>
      <w:r w:rsidR="00D14C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к настоящему Решению; 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на плановый период 202</w:t>
      </w:r>
      <w:r w:rsidR="0025526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255268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годов согласно приложению 10 к настоящему Решению.</w:t>
      </w:r>
    </w:p>
    <w:p w:rsidR="00C62C08" w:rsidRPr="00C62C08" w:rsidRDefault="00470AB7" w:rsidP="00625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844ADF" w:rsidRPr="00CD15D9">
        <w:rPr>
          <w:rFonts w:ascii="Times New Roman" w:hAnsi="Times New Roman"/>
          <w:sz w:val="28"/>
          <w:szCs w:val="28"/>
          <w:lang w:eastAsia="ru-RU"/>
        </w:rPr>
        <w:t>.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Установить, что в 202</w:t>
      </w:r>
      <w:r w:rsidR="00D615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D6157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из бюджета </w:t>
      </w:r>
      <w:r w:rsidR="008C1DB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C1DB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Иглинский район Республики Башкортостан в соответствии со статьей 78 Бюджетного кодекса Российской Федерации и в порядке, установленном Администрацией муниципального района Иглинский район, предоставляются субсидии 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муниципального района, в том</w:t>
      </w:r>
      <w:proofErr w:type="gramEnd"/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>числе</w:t>
      </w:r>
      <w:proofErr w:type="gramEnd"/>
      <w:r w:rsidR="00C62C08" w:rsidRPr="00C62C0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сельскохозяйственным товаропроизводителям. 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B41400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 1) Установить, что  решения и иные нормативные правовые акты администрации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год, и плановый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период 20</w:t>
      </w:r>
      <w:r w:rsidR="00771DE2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3</w:t>
      </w:r>
      <w:r w:rsidR="00771DE2">
        <w:rPr>
          <w:rFonts w:ascii="Times New Roman" w:hAnsi="Times New Roman"/>
          <w:sz w:val="28"/>
          <w:szCs w:val="28"/>
          <w:lang w:eastAsia="ru-RU"/>
        </w:rPr>
        <w:t xml:space="preserve"> – 202</w:t>
      </w:r>
      <w:r w:rsidR="007745D0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годов,</w:t>
      </w:r>
      <w:r w:rsidR="00D449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а также сокращающие его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доходную базу, подлежат исполнению при изыскании дополнительных источников доходов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при условии внесения соответствующих изменений в настоящее  Решение.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 xml:space="preserve">2) Проекты решений и иных нормативных правовых актов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625D25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 на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 год и плановый период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7745D0">
        <w:rPr>
          <w:rFonts w:ascii="Times New Roman" w:hAnsi="Times New Roman"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 либо сокращающие его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доходную базу, вносятся только при одновременном внесении предложений о дополнительных источниках доходов бюджета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 и (или) сокращении бюджетных ассигнований по конкретным статьям расходов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1132" w:rsidRPr="00CD15D9">
        <w:rPr>
          <w:rFonts w:ascii="Times New Roman" w:hAnsi="Times New Roman"/>
          <w:sz w:val="28"/>
          <w:szCs w:val="28"/>
          <w:lang w:eastAsia="ru-RU"/>
        </w:rPr>
        <w:t xml:space="preserve">сельсовет </w:t>
      </w:r>
      <w:r w:rsidRPr="00CD15D9">
        <w:rPr>
          <w:rFonts w:ascii="Times New Roman" w:hAnsi="Times New Roman"/>
          <w:sz w:val="28"/>
          <w:szCs w:val="28"/>
          <w:lang w:eastAsia="ru-RU"/>
        </w:rPr>
        <w:t>муниципального района Иглинский район Республики Башкортостан.</w:t>
      </w:r>
    </w:p>
    <w:p w:rsidR="00844ADF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sz w:val="28"/>
          <w:szCs w:val="28"/>
          <w:lang w:eastAsia="ru-RU"/>
        </w:rPr>
        <w:t xml:space="preserve">3) Администрация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не вправе принимать решения, приводящие к увеличению в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-2</w:t>
      </w:r>
      <w:r w:rsidR="007745D0">
        <w:rPr>
          <w:rFonts w:ascii="Times New Roman" w:hAnsi="Times New Roman"/>
          <w:sz w:val="28"/>
          <w:szCs w:val="28"/>
          <w:lang w:eastAsia="ru-RU"/>
        </w:rPr>
        <w:t>024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годах численности муниципальных </w:t>
      </w:r>
      <w:r w:rsidRPr="00CD15D9">
        <w:rPr>
          <w:rFonts w:ascii="Times New Roman" w:hAnsi="Times New Roman"/>
          <w:sz w:val="28"/>
          <w:szCs w:val="28"/>
          <w:lang w:eastAsia="ru-RU"/>
        </w:rPr>
        <w:lastRenderedPageBreak/>
        <w:t>служащих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СП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Иглинский район и работников организаций бюджетной сферы.</w:t>
      </w:r>
    </w:p>
    <w:p w:rsidR="008867B7" w:rsidRPr="008867B7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F46CB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CD15D9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312D4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867B7" w:rsidRPr="008867B7">
        <w:rPr>
          <w:rFonts w:ascii="Times New Roman" w:hAnsi="Times New Roman"/>
          <w:sz w:val="28"/>
          <w:szCs w:val="28"/>
          <w:lang w:eastAsia="ru-RU"/>
        </w:rPr>
        <w:t xml:space="preserve">Установить, что остатки средств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пального района Иглинский район </w:t>
      </w:r>
      <w:r w:rsidR="008867B7" w:rsidRPr="008867B7">
        <w:rPr>
          <w:rFonts w:ascii="Times New Roman" w:hAnsi="Times New Roman"/>
          <w:sz w:val="28"/>
          <w:szCs w:val="28"/>
          <w:lang w:eastAsia="ru-RU"/>
        </w:rPr>
        <w:t>по состоянию на 1 января 2022 года в объеме:</w:t>
      </w:r>
    </w:p>
    <w:p w:rsidR="008867B7" w:rsidRPr="008867B7" w:rsidRDefault="008867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8867B7">
        <w:rPr>
          <w:rFonts w:ascii="Times New Roman" w:hAnsi="Times New Roman"/>
          <w:sz w:val="28"/>
          <w:szCs w:val="28"/>
          <w:lang w:eastAsia="ru-RU"/>
        </w:rPr>
        <w:t xml:space="preserve">1) не более одной двенадцатой общего объема расходов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пального района 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 xml:space="preserve">текущего финансового года направляются </w:t>
      </w:r>
      <w:r w:rsidR="004A5EA7">
        <w:rPr>
          <w:rFonts w:ascii="Times New Roman" w:hAnsi="Times New Roman"/>
          <w:sz w:val="28"/>
          <w:szCs w:val="28"/>
          <w:lang w:eastAsia="ru-RU"/>
        </w:rPr>
        <w:t xml:space="preserve">Администрацией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на покрытие временных кассовых разрывов, возникающих в ходе исполнения бюджета 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4A5EA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</w:t>
      </w:r>
      <w:r w:rsidRPr="008867B7">
        <w:rPr>
          <w:rFonts w:ascii="Times New Roman" w:hAnsi="Times New Roman"/>
          <w:sz w:val="28"/>
          <w:szCs w:val="28"/>
          <w:lang w:eastAsia="ru-RU"/>
        </w:rPr>
        <w:t>Республики Башкортостан;</w:t>
      </w:r>
      <w:proofErr w:type="gramEnd"/>
    </w:p>
    <w:p w:rsidR="008867B7" w:rsidRPr="008867B7" w:rsidRDefault="008867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B7">
        <w:rPr>
          <w:rFonts w:ascii="Times New Roman" w:hAnsi="Times New Roman"/>
          <w:sz w:val="28"/>
          <w:szCs w:val="28"/>
          <w:lang w:eastAsia="ru-RU"/>
        </w:rPr>
        <w:t>2) не превышающем сумму остатка неиспользованных бюджетных ассигнований направляются в 2022 году на увеличение бюджетных ассигнований:</w:t>
      </w:r>
    </w:p>
    <w:p w:rsidR="008867B7" w:rsidRPr="008867B7" w:rsidRDefault="008867B7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67B7">
        <w:rPr>
          <w:rFonts w:ascii="Times New Roman" w:hAnsi="Times New Roman"/>
          <w:sz w:val="28"/>
          <w:szCs w:val="28"/>
          <w:lang w:eastAsia="ru-RU"/>
        </w:rPr>
        <w:t xml:space="preserve">а) на оплату заключенных от имени </w:t>
      </w:r>
      <w:r w:rsidR="00285D3A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625D25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5D3A"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</w:t>
      </w:r>
      <w:r w:rsidR="00285D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67B7">
        <w:rPr>
          <w:rFonts w:ascii="Times New Roman" w:hAnsi="Times New Roman"/>
          <w:sz w:val="28"/>
          <w:szCs w:val="28"/>
          <w:lang w:eastAsia="ru-RU"/>
        </w:rPr>
        <w:t>Республики Башкортостан муниципальных контрактов на поставку товаров, выполнение работ, оказание услуг, подлежащих в соответствии с условиями этих муниципальных контрактов к оплате в 2021 году;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F46CB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 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Башкортостан, связанные с особенностями исполнения бюджета  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Башкортостан: </w:t>
      </w:r>
    </w:p>
    <w:p w:rsidR="00E57B5D" w:rsidRPr="00E57B5D" w:rsidRDefault="00F452FA" w:rsidP="00625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625D25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решениями Администрации </w:t>
      </w:r>
      <w:r w:rsidR="00625D25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625D25" w:rsidRPr="00625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B5D" w:rsidRPr="00E57B5D" w:rsidRDefault="00F452FA" w:rsidP="00625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в размере экономии, возникшей в ходе исполнения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, по результатам закупок товаров, работ, услуг путем проведения конкурентных способов</w:t>
      </w:r>
      <w:proofErr w:type="gramEnd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определения поставщиков (подрядчиков, исполнителей);</w:t>
      </w:r>
    </w:p>
    <w:p w:rsidR="00E57B5D" w:rsidRPr="00E57B5D" w:rsidRDefault="00F452FA" w:rsidP="00625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987905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, для </w:t>
      </w:r>
      <w:proofErr w:type="spellStart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софинансирования</w:t>
      </w:r>
      <w:proofErr w:type="spellEnd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расходных обязательств в целях выполнения условий предоставления субсидий и иных межбюджетных трансфертов из бюджета Республики Башкортостан</w:t>
      </w:r>
      <w:r w:rsidR="008557E7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E57B5D" w:rsidRPr="00E57B5D" w:rsidRDefault="00F452FA" w:rsidP="00625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625D25" w:rsidRPr="00CD15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>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, при условии, что совокупный объем увеличений бюджетных ассигнований по настоящему основанию с начала текущего года с учетом указанных бюджетных ассигнований не превышает 10 процентов от первоначально утвержденных бюджетных</w:t>
      </w:r>
      <w:proofErr w:type="gramEnd"/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 ассигнований главному распорядителю средств бюджета 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25D25">
        <w:rPr>
          <w:rFonts w:ascii="Times New Roman" w:hAnsi="Times New Roman"/>
          <w:sz w:val="28"/>
          <w:szCs w:val="28"/>
          <w:lang w:eastAsia="ru-RU"/>
        </w:rPr>
        <w:t>Калтымановский</w:t>
      </w:r>
      <w:r w:rsidR="008557E7" w:rsidRPr="00CD15D9">
        <w:rPr>
          <w:rFonts w:ascii="Times New Roman" w:hAnsi="Times New Roman"/>
          <w:sz w:val="28"/>
          <w:szCs w:val="28"/>
          <w:lang w:eastAsia="ru-RU"/>
        </w:rPr>
        <w:t xml:space="preserve"> сельсовет муниципального района Иглинский район Республики Башкортостан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57B5D" w:rsidRPr="00E57B5D" w:rsidRDefault="00F452FA" w:rsidP="00625D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57B5D" w:rsidRPr="00E57B5D">
        <w:rPr>
          <w:rFonts w:ascii="Times New Roman" w:eastAsia="Times New Roman" w:hAnsi="Times New Roman"/>
          <w:sz w:val="28"/>
          <w:szCs w:val="28"/>
          <w:lang w:eastAsia="ru-RU"/>
        </w:rPr>
        <w:t xml:space="preserve">) перераспределение бюджетных ассигнований, связанное с изменением (уточнением) кодов и (или) порядка применения бюджетной классификации Российской Федерации. </w:t>
      </w:r>
    </w:p>
    <w:p w:rsidR="00436C56" w:rsidRPr="00436C56" w:rsidRDefault="00436C56" w:rsidP="00625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F46CB">
        <w:rPr>
          <w:rFonts w:ascii="Times New Roman" w:hAnsi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436C5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подлежит официальному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обнародованию</w:t>
      </w:r>
      <w:r w:rsidRPr="00436C56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установленном порядке.</w:t>
      </w:r>
    </w:p>
    <w:p w:rsidR="00844ADF" w:rsidRPr="00CD15D9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F46CB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5D9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с 1 января 20</w:t>
      </w:r>
      <w:r w:rsidR="005406A7">
        <w:rPr>
          <w:rFonts w:ascii="Times New Roman" w:hAnsi="Times New Roman"/>
          <w:sz w:val="28"/>
          <w:szCs w:val="28"/>
          <w:lang w:eastAsia="ru-RU"/>
        </w:rPr>
        <w:t>2</w:t>
      </w:r>
      <w:r w:rsidR="007745D0">
        <w:rPr>
          <w:rFonts w:ascii="Times New Roman" w:hAnsi="Times New Roman"/>
          <w:sz w:val="28"/>
          <w:szCs w:val="28"/>
          <w:lang w:eastAsia="ru-RU"/>
        </w:rPr>
        <w:t>2</w:t>
      </w:r>
      <w:r w:rsidRPr="00CD15D9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844ADF" w:rsidRDefault="00844ADF" w:rsidP="00625D2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D15D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F46CB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436C56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7F6F1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D15D9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D15D9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r w:rsidR="00E16EF5">
        <w:rPr>
          <w:rFonts w:ascii="Times New Roman" w:hAnsi="Times New Roman"/>
          <w:sz w:val="28"/>
          <w:szCs w:val="28"/>
          <w:lang w:eastAsia="ru-RU"/>
        </w:rPr>
        <w:t>Абдеев И.И.</w:t>
      </w:r>
      <w:r w:rsidRPr="00CD15D9">
        <w:rPr>
          <w:rFonts w:ascii="Times New Roman" w:hAnsi="Times New Roman"/>
          <w:sz w:val="28"/>
          <w:szCs w:val="28"/>
          <w:lang w:eastAsia="ru-RU"/>
        </w:rPr>
        <w:t>).</w:t>
      </w:r>
    </w:p>
    <w:p w:rsidR="00844ADF" w:rsidRPr="00CD15D9" w:rsidRDefault="00844ADF" w:rsidP="00625D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44ADF" w:rsidRDefault="00844ADF" w:rsidP="00625D25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</w:p>
    <w:p w:rsidR="00625D25" w:rsidRPr="00CD15D9" w:rsidRDefault="00625D25" w:rsidP="00625D25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0"/>
          <w:lang w:eastAsia="ru-RU"/>
        </w:rPr>
      </w:pPr>
      <w:r w:rsidRPr="00C44ED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лава сельского поселения:      </w:t>
      </w:r>
      <w:r w:rsidRPr="00C44ED2">
        <w:rPr>
          <w:rFonts w:ascii="Times New Roman" w:hAnsi="Times New Roman"/>
          <w:sz w:val="28"/>
          <w:szCs w:val="28"/>
        </w:rPr>
        <w:t xml:space="preserve">                                                   Ф.М.Мосейчук</w:t>
      </w:r>
    </w:p>
    <w:sectPr w:rsidR="00625D25" w:rsidRPr="00CD15D9" w:rsidSect="00D355FA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6B15"/>
    <w:multiLevelType w:val="hybridMultilevel"/>
    <w:tmpl w:val="2E9C8B26"/>
    <w:lvl w:ilvl="0" w:tplc="06DA46CA">
      <w:start w:val="1"/>
      <w:numFmt w:val="decimal"/>
      <w:lvlText w:val="%1."/>
      <w:lvlJc w:val="left"/>
      <w:pPr>
        <w:tabs>
          <w:tab w:val="num" w:pos="1005"/>
        </w:tabs>
        <w:ind w:left="1005" w:hanging="4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5D9"/>
    <w:rsid w:val="000100BF"/>
    <w:rsid w:val="000203EB"/>
    <w:rsid w:val="00036516"/>
    <w:rsid w:val="00140DA1"/>
    <w:rsid w:val="001D5562"/>
    <w:rsid w:val="00216C0A"/>
    <w:rsid w:val="00255268"/>
    <w:rsid w:val="00265ED1"/>
    <w:rsid w:val="00285D3A"/>
    <w:rsid w:val="002B52D1"/>
    <w:rsid w:val="002E21CD"/>
    <w:rsid w:val="00312D4A"/>
    <w:rsid w:val="00315552"/>
    <w:rsid w:val="004043B1"/>
    <w:rsid w:val="00436C56"/>
    <w:rsid w:val="004373EC"/>
    <w:rsid w:val="00453A34"/>
    <w:rsid w:val="00463790"/>
    <w:rsid w:val="00470AB7"/>
    <w:rsid w:val="00471132"/>
    <w:rsid w:val="004A5EA7"/>
    <w:rsid w:val="004B1AD5"/>
    <w:rsid w:val="00523870"/>
    <w:rsid w:val="005406A7"/>
    <w:rsid w:val="00554DED"/>
    <w:rsid w:val="005A773D"/>
    <w:rsid w:val="005B4BDD"/>
    <w:rsid w:val="005E45D9"/>
    <w:rsid w:val="00625D25"/>
    <w:rsid w:val="00640BBC"/>
    <w:rsid w:val="006465EB"/>
    <w:rsid w:val="006C5F55"/>
    <w:rsid w:val="006F2F6B"/>
    <w:rsid w:val="006F46CB"/>
    <w:rsid w:val="00702A6C"/>
    <w:rsid w:val="00735367"/>
    <w:rsid w:val="00743D0F"/>
    <w:rsid w:val="00756CC2"/>
    <w:rsid w:val="00771DE2"/>
    <w:rsid w:val="007745D0"/>
    <w:rsid w:val="007765BE"/>
    <w:rsid w:val="0079758D"/>
    <w:rsid w:val="007A5AC7"/>
    <w:rsid w:val="007F6F1D"/>
    <w:rsid w:val="00807DCE"/>
    <w:rsid w:val="00844ADF"/>
    <w:rsid w:val="008557E7"/>
    <w:rsid w:val="00873930"/>
    <w:rsid w:val="00881E2B"/>
    <w:rsid w:val="008867B7"/>
    <w:rsid w:val="008B2110"/>
    <w:rsid w:val="008C1DBB"/>
    <w:rsid w:val="008F3296"/>
    <w:rsid w:val="009374B2"/>
    <w:rsid w:val="009403C5"/>
    <w:rsid w:val="0098584E"/>
    <w:rsid w:val="009861F2"/>
    <w:rsid w:val="00987905"/>
    <w:rsid w:val="009F09A4"/>
    <w:rsid w:val="00A73667"/>
    <w:rsid w:val="00A8714E"/>
    <w:rsid w:val="00A87F24"/>
    <w:rsid w:val="00AC7F58"/>
    <w:rsid w:val="00AE31F5"/>
    <w:rsid w:val="00B41400"/>
    <w:rsid w:val="00B61461"/>
    <w:rsid w:val="00BC0A09"/>
    <w:rsid w:val="00BE42B6"/>
    <w:rsid w:val="00C45871"/>
    <w:rsid w:val="00C62C08"/>
    <w:rsid w:val="00CD11D2"/>
    <w:rsid w:val="00CD15D9"/>
    <w:rsid w:val="00CE484F"/>
    <w:rsid w:val="00D14C51"/>
    <w:rsid w:val="00D355FA"/>
    <w:rsid w:val="00D42C24"/>
    <w:rsid w:val="00D449EB"/>
    <w:rsid w:val="00D6157D"/>
    <w:rsid w:val="00D66910"/>
    <w:rsid w:val="00D84938"/>
    <w:rsid w:val="00DC45A7"/>
    <w:rsid w:val="00E1216F"/>
    <w:rsid w:val="00E16EF5"/>
    <w:rsid w:val="00E20CDE"/>
    <w:rsid w:val="00E43D87"/>
    <w:rsid w:val="00E57B5D"/>
    <w:rsid w:val="00E81A2F"/>
    <w:rsid w:val="00EA457E"/>
    <w:rsid w:val="00EB685E"/>
    <w:rsid w:val="00F4015D"/>
    <w:rsid w:val="00F40BB3"/>
    <w:rsid w:val="00F452FA"/>
    <w:rsid w:val="00F50B71"/>
    <w:rsid w:val="00F61D35"/>
    <w:rsid w:val="00F82068"/>
    <w:rsid w:val="00F823B8"/>
    <w:rsid w:val="00F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25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semiHidden/>
    <w:rsid w:val="00625D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rsid w:val="00625D25"/>
    <w:rPr>
      <w:rFonts w:ascii="Times New Roman" w:eastAsia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3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355F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Новый</cp:lastModifiedBy>
  <cp:revision>69</cp:revision>
  <cp:lastPrinted>2021-11-30T08:31:00Z</cp:lastPrinted>
  <dcterms:created xsi:type="dcterms:W3CDTF">2015-11-16T12:10:00Z</dcterms:created>
  <dcterms:modified xsi:type="dcterms:W3CDTF">2021-12-02T11:26:00Z</dcterms:modified>
</cp:coreProperties>
</file>